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校园</w:t>
      </w:r>
      <w:r>
        <w:rPr>
          <w:rFonts w:hint="eastAsia"/>
          <w:b/>
          <w:bCs/>
          <w:sz w:val="36"/>
          <w:szCs w:val="36"/>
        </w:rPr>
        <w:t>治安情况周报（201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下</w:t>
      </w:r>
      <w:r>
        <w:rPr>
          <w:rFonts w:hint="eastAsia"/>
          <w:b/>
          <w:bCs/>
          <w:sz w:val="36"/>
          <w:szCs w:val="36"/>
          <w:lang w:eastAsia="zh-CN"/>
        </w:rPr>
        <w:t>半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val="en-US" w:eastAsia="zh-CN"/>
        </w:rPr>
        <w:t>五</w:t>
      </w:r>
      <w:r>
        <w:rPr>
          <w:rFonts w:hint="eastAsia"/>
          <w:b/>
          <w:bCs/>
          <w:sz w:val="36"/>
          <w:szCs w:val="36"/>
        </w:rPr>
        <w:t>周）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一、发案情况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未发生案件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二、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安全工作简报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“十.一”长假结束，学生返校上课，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此强调：各教学单位应坚持有针对性地做好安全、法制和思想教育工作，提醒学生保持高度的防范意识，遵守校纪校规，养成良好生活习惯，保护个人和他人人身安全；同时，各教学单位应持续加强专项排查，掌握动态，严防学生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初来乍到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、情感纠纷、个人恩怨引发失联、深陷网贷、夜不归宿、外出聚会饮酒、打架斗殴、人身伤害、轻生等突发事件，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建立健全家校联系机制，随时掌握学生校内、返家状态，及时通报学生安全动态，防止失联事件的发生，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保障学生生命财产安全，维护校园和谐稳定。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各教学单位、各职能部门应持续关注学生公寓消防安全和安全管理，坚持宿舍巡查工作，严格落实宿舍用电安全规定，坚决杜绝学生私自携带管制刀具，坚决杜绝违规大功率电器、酒精炉、热得快等危险物品的使用，消除宿舍安全隐患，确保学生公寓安全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555B"/>
    <w:rsid w:val="6D535020"/>
    <w:rsid w:val="72F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2018-10-15T00:19:00Z</dcterms:created>
  <dc:creator>井圆清</dc:creator>
  <cp:lastModifiedBy>井圆清</cp:lastModifiedBy>
  <dcterms:modified xsi:type="dcterms:W3CDTF">2018-10-15T00:41:41Z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