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lang w:eastAsia="zh-CN"/>
        </w:rPr>
        <w:t>校园</w:t>
      </w:r>
      <w:r>
        <w:rPr>
          <w:rFonts w:hint="eastAsia"/>
          <w:b/>
          <w:bCs/>
          <w:sz w:val="36"/>
          <w:szCs w:val="36"/>
        </w:rPr>
        <w:t>治安情况周报（201</w:t>
      </w:r>
      <w:r>
        <w:rPr>
          <w:rFonts w:hint="eastAsia"/>
          <w:b/>
          <w:bCs/>
          <w:sz w:val="36"/>
          <w:szCs w:val="36"/>
          <w:lang w:val="en-US" w:eastAsia="zh-CN"/>
        </w:rPr>
        <w:t>8</w:t>
      </w:r>
      <w:r>
        <w:rPr>
          <w:rFonts w:hint="eastAsia"/>
          <w:b/>
          <w:bCs/>
          <w:sz w:val="36"/>
          <w:szCs w:val="36"/>
        </w:rPr>
        <w:t>年</w:t>
      </w:r>
      <w:r>
        <w:rPr>
          <w:rFonts w:hint="eastAsia"/>
          <w:b/>
          <w:bCs/>
          <w:sz w:val="36"/>
          <w:szCs w:val="36"/>
          <w:lang w:eastAsia="zh-CN"/>
        </w:rPr>
        <w:t>上半</w:t>
      </w:r>
      <w:r>
        <w:rPr>
          <w:rFonts w:hint="eastAsia"/>
          <w:b/>
          <w:bCs/>
          <w:sz w:val="36"/>
          <w:szCs w:val="36"/>
        </w:rPr>
        <w:t>年第</w:t>
      </w:r>
      <w:r>
        <w:rPr>
          <w:rFonts w:hint="eastAsia"/>
          <w:b/>
          <w:bCs/>
          <w:sz w:val="36"/>
          <w:szCs w:val="36"/>
          <w:lang w:eastAsia="zh-CN"/>
        </w:rPr>
        <w:t>八</w:t>
      </w:r>
      <w:r>
        <w:rPr>
          <w:rFonts w:hint="eastAsia"/>
          <w:b/>
          <w:bCs/>
          <w:sz w:val="36"/>
          <w:szCs w:val="36"/>
        </w:rPr>
        <w:t>周）</w:t>
      </w:r>
    </w:p>
    <w:p>
      <w:pPr>
        <w:rPr>
          <w:rFonts w:hint="eastAsia"/>
        </w:rPr>
      </w:pPr>
      <w:r>
        <w:rPr>
          <w:rFonts w:hint="eastAsia"/>
        </w:rPr>
        <w:t xml:space="preserve"> </w:t>
      </w:r>
    </w:p>
    <w:p>
      <w:pPr>
        <w:rPr>
          <w:rFonts w:hint="default" w:ascii="Times New Roman" w:hAnsi="Times New Roman" w:eastAsia="仿宋" w:cs="Times New Roman"/>
          <w:sz w:val="32"/>
          <w:szCs w:val="32"/>
        </w:rPr>
      </w:pPr>
      <w:r>
        <w:rPr>
          <w:rFonts w:hint="eastAsia"/>
        </w:rPr>
        <w:t xml:space="preserve">        </w:t>
      </w:r>
      <w:r>
        <w:rPr>
          <w:rFonts w:hint="default" w:ascii="Times New Roman" w:hAnsi="Times New Roman" w:eastAsia="仿宋" w:cs="Times New Roman"/>
          <w:sz w:val="32"/>
          <w:szCs w:val="32"/>
        </w:rPr>
        <w:t>一、发案情况</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本周发生</w:t>
      </w:r>
      <w:r>
        <w:rPr>
          <w:rFonts w:hint="eastAsia" w:ascii="Times New Roman" w:hAnsi="Times New Roman" w:eastAsia="仿宋" w:cs="Times New Roman"/>
          <w:sz w:val="32"/>
          <w:szCs w:val="32"/>
          <w:lang w:val="en-US" w:eastAsia="zh-CN"/>
        </w:rPr>
        <w:t>学生手机丢失事件一起，现场视频资料已发现嫌疑人，移交辖区公安部门侦办。</w:t>
      </w:r>
    </w:p>
    <w:p>
      <w:pPr>
        <w:numPr>
          <w:ilvl w:val="0"/>
          <w:numId w:val="0"/>
        </w:numPr>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 xml:space="preserve">     二、</w:t>
      </w:r>
      <w:r>
        <w:rPr>
          <w:rFonts w:hint="eastAsia" w:ascii="Times New Roman" w:hAnsi="Times New Roman" w:eastAsia="仿宋" w:cs="Times New Roman"/>
          <w:sz w:val="32"/>
          <w:szCs w:val="32"/>
          <w:lang w:val="en-US" w:eastAsia="zh-CN"/>
        </w:rPr>
        <w:t>安全工作简报</w:t>
      </w:r>
    </w:p>
    <w:p>
      <w:p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为贯彻落实学校做好近一时期校园安全维稳工作的部署安排，保卫处做出详细计划，加强视频监控、校园巡查工作，汇总全校各类安全信息，积极预防涉校涉稳安全隐患，全力维护校园平安。</w:t>
      </w:r>
    </w:p>
    <w:p>
      <w:p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按照半月一排查工作要求，各教学单位各自开展安全隐患自查自纠活动，将检查台帐按时报送至保卫处，其中数媒、传媒、旅游和艺术中专部工作开展细致，检查登记详实，问题整改到位。希望各教学单位继续坚持，认真落实各项排查整改工作，保障师生平安。</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三、安全提示</w:t>
      </w:r>
    </w:p>
    <w:p>
      <w:pPr>
        <w:ind w:firstLine="64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结合省教育厅文件精神，各类针对在校大学生的校园网贷以及由此引发的影响学校正常教学秩序、危害学生生命财产安全的事件仍然存在，要求各高校要引起高度重视，采取有效措施，防范网贷引发涉校涉生安全事件。保卫处联系辖区派出所，邀请公安民警来校开展预防电信诈骗专题讲座，通过实际案例，详细讲解犯罪分子作案特点，宣传预防电信诈骗和校园贷侵害的相关知识，提高学生日常预防能力，取得了良好的效果。</w:t>
      </w:r>
    </w:p>
    <w:p>
      <w:pPr>
        <w:ind w:firstLine="640"/>
        <w:rPr>
          <w:rFonts w:hint="default" w:ascii="Times New Roman" w:hAnsi="Times New Roman" w:eastAsia="仿宋" w:cs="Times New Roman"/>
          <w:sz w:val="32"/>
          <w:szCs w:val="32"/>
        </w:rPr>
      </w:pPr>
      <w:bookmarkStart w:id="0" w:name="_GoBack"/>
      <w:bookmarkEnd w:id="0"/>
      <w:r>
        <w:rPr>
          <w:rFonts w:hint="eastAsia" w:ascii="Times New Roman" w:hAnsi="Times New Roman" w:eastAsia="仿宋" w:cs="Times New Roman"/>
          <w:sz w:val="32"/>
          <w:szCs w:val="32"/>
          <w:lang w:eastAsia="zh-CN"/>
        </w:rPr>
        <w:t>对校园网贷、电信诈骗预防工作，再次做出必要提示：</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各学院应对有坚持针对性地做好安全教育、法制教育工作，提醒学会保持高度的防范意识，养成良好生活习惯和消费观念，消除攀比心理，不参与网络赌博、淘宝刷单等活动，关注学业，健康生活，注意校园活动中的安全保护和行为规范，不进行危险游戏，保护个人和他人人身安全；应持续加强专项排查，掌握动态，严防学生失联、深陷网贷、人身伤害等突发事件，保障学生生命财产安全。同时，各教学单位应持续关注学生公寓消防安全和安全管理，继续坚持宿舍巡查工作，严格落实宿舍用电安全规定，坚决杜绝学生私自携带管制刀具，坚决杜绝违规大功率电器、酒精炉、热得快等危险物品的使用，消除宿舍安全隐患，确保学生公寓安全。</w:t>
      </w:r>
    </w:p>
    <w:p>
      <w:pPr>
        <w:ind w:firstLine="640" w:firstLineChars="200"/>
        <w:rPr>
          <w:rFonts w:hint="eastAsia" w:ascii="Times New Roman" w:hAnsi="Times New Roman" w:eastAsia="仿宋" w:cs="Times New Roman"/>
          <w:sz w:val="32"/>
          <w:szCs w:val="32"/>
          <w:lang w:eastAsia="zh-CN"/>
        </w:rPr>
      </w:pP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A6D5C"/>
    <w:rsid w:val="3E1A6D5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2018-05-03T07:38:00Z</dcterms:created>
  <dc:creator>井圆清</dc:creator>
  <cp:lastModifiedBy>井圆清</cp:lastModifiedBy>
  <dcterms:modified xsi:type="dcterms:W3CDTF">2018-05-03T07:58:30Z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